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vm" ContentType="image/unknow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82" w:rsidRDefault="004C7D74">
      <w:pPr>
        <w:pStyle w:val="Standard"/>
      </w:pPr>
      <w:r>
        <w:rPr>
          <w:noProof/>
          <w:lang w:eastAsia="bg-BG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577880"/>
            <wp:effectExtent l="0" t="0" r="0" b="3270"/>
            <wp:wrapTopAndBottom/>
            <wp:docPr id="1" name="графики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57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482" w:rsidRDefault="004C7D74">
      <w:pPr>
        <w:pStyle w:val="Standard"/>
      </w:pPr>
      <w:r>
        <w:t xml:space="preserve"> </w:t>
      </w:r>
    </w:p>
    <w:p w:rsidR="00421482" w:rsidRDefault="004C7D74">
      <w:pPr>
        <w:pStyle w:val="Standard"/>
      </w:pPr>
      <w:r>
        <w:t xml:space="preserve">                                                       </w:t>
      </w:r>
      <w:r>
        <w:rPr>
          <w:rFonts w:ascii="Verdana" w:hAnsi="Verdana"/>
          <w:sz w:val="28"/>
          <w:szCs w:val="28"/>
        </w:rPr>
        <w:t xml:space="preserve"> О Т Ч Е Т</w:t>
      </w:r>
    </w:p>
    <w:p w:rsidR="00421482" w:rsidRDefault="00421482">
      <w:pPr>
        <w:pStyle w:val="Standard"/>
        <w:rPr>
          <w:rFonts w:ascii="Verdana" w:hAnsi="Verdana"/>
          <w:sz w:val="28"/>
          <w:szCs w:val="28"/>
        </w:rPr>
      </w:pPr>
    </w:p>
    <w:p w:rsidR="00421482" w:rsidRDefault="004C7D74">
      <w:pPr>
        <w:pStyle w:val="Standard"/>
      </w:pPr>
      <w:r>
        <w:rPr>
          <w:rFonts w:ascii="Verdana" w:hAnsi="Verdana"/>
          <w:sz w:val="28"/>
          <w:szCs w:val="28"/>
        </w:rPr>
        <w:t xml:space="preserve">       </w:t>
      </w:r>
      <w:r>
        <w:rPr>
          <w:rFonts w:ascii="Verdana" w:hAnsi="Verdana"/>
        </w:rPr>
        <w:t>За дейността на Народно читалище „Св. Климент Охридски 1969“ - Хасково за периода Януари – Декември 201</w:t>
      </w:r>
      <w:r>
        <w:rPr>
          <w:rFonts w:ascii="Verdana" w:hAnsi="Verdana"/>
          <w:lang w:val="en-US"/>
        </w:rPr>
        <w:t>9</w:t>
      </w:r>
      <w:r>
        <w:rPr>
          <w:rFonts w:ascii="Verdana" w:hAnsi="Verdana"/>
        </w:rPr>
        <w:t xml:space="preserve"> г. По МЕХАНИЗМА за разпределяне на годишната субсидия на читалищата при община Хасково</w:t>
      </w:r>
    </w:p>
    <w:p w:rsidR="00421482" w:rsidRDefault="00421482">
      <w:pPr>
        <w:pStyle w:val="Standard"/>
        <w:rPr>
          <w:rFonts w:ascii="Verdana" w:hAnsi="Verdana"/>
        </w:rPr>
      </w:pPr>
    </w:p>
    <w:p w:rsidR="00421482" w:rsidRDefault="00421482">
      <w:pPr>
        <w:pStyle w:val="Standard"/>
        <w:rPr>
          <w:rFonts w:ascii="Verdana" w:hAnsi="Verdana"/>
        </w:rPr>
      </w:pPr>
    </w:p>
    <w:p w:rsidR="00421482" w:rsidRDefault="00421482">
      <w:pPr>
        <w:pStyle w:val="Standard"/>
        <w:rPr>
          <w:rFonts w:ascii="Verdana" w:hAnsi="Verdana"/>
        </w:rPr>
      </w:pPr>
    </w:p>
    <w:p w:rsidR="00421482" w:rsidRDefault="00421482">
      <w:pPr>
        <w:pStyle w:val="Standard"/>
        <w:rPr>
          <w:rFonts w:ascii="Verdana" w:hAnsi="Verdana"/>
        </w:rPr>
      </w:pPr>
    </w:p>
    <w:p w:rsidR="00421482" w:rsidRDefault="004C7D74">
      <w:pPr>
        <w:pStyle w:val="Standard"/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I.</w:t>
      </w:r>
      <w:r>
        <w:rPr>
          <w:sz w:val="28"/>
          <w:szCs w:val="28"/>
        </w:rPr>
        <w:t xml:space="preserve">Брой на </w:t>
      </w:r>
      <w:proofErr w:type="spellStart"/>
      <w:r>
        <w:rPr>
          <w:sz w:val="28"/>
          <w:szCs w:val="28"/>
        </w:rPr>
        <w:t>жинелите</w:t>
      </w:r>
      <w:proofErr w:type="spellEnd"/>
      <w:r>
        <w:rPr>
          <w:sz w:val="28"/>
          <w:szCs w:val="28"/>
        </w:rPr>
        <w:t xml:space="preserve"> в населеното място или района обслужван от Читалището:</w:t>
      </w:r>
    </w:p>
    <w:p w:rsidR="00421482" w:rsidRDefault="004C7D74">
      <w:pPr>
        <w:pStyle w:val="Standard"/>
        <w:ind w:left="660"/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НЧ „Св.Климент Охридски 1969” – Хасково е териториално Читалище в града. То обслужва 5 /пет/ квартала – „Училищни”; „Воеводски”; „Освобождение”; „\</w:t>
      </w:r>
      <w:proofErr w:type="spellStart"/>
      <w:r>
        <w:rPr>
          <w:sz w:val="28"/>
          <w:szCs w:val="28"/>
        </w:rPr>
        <w:t>Камени</w:t>
      </w:r>
      <w:proofErr w:type="spellEnd"/>
      <w:r>
        <w:rPr>
          <w:sz w:val="28"/>
          <w:szCs w:val="28"/>
        </w:rPr>
        <w:t xml:space="preserve">” и „Червена стена”. Те са от централната част на града, в които има 4 /четири/ средни училища и 2 /две/ детски градини. Със своята </w:t>
      </w:r>
      <w:r>
        <w:rPr>
          <w:sz w:val="28"/>
          <w:szCs w:val="28"/>
          <w:lang w:val="en-US"/>
        </w:rPr>
        <w:t>50</w:t>
      </w:r>
      <w:r>
        <w:rPr>
          <w:sz w:val="28"/>
          <w:szCs w:val="28"/>
        </w:rPr>
        <w:t xml:space="preserve">-годишна история, Читалището ни е извоювало своето място в културния живот на града. По своята специфика на дейност НЧ”Св.Климент Охридски 1969” обслужва културните потребности на жителите от </w:t>
      </w:r>
      <w:proofErr w:type="spellStart"/>
      <w:r>
        <w:rPr>
          <w:sz w:val="28"/>
          <w:szCs w:val="28"/>
        </w:rPr>
        <w:t>гореопоменатите</w:t>
      </w:r>
      <w:proofErr w:type="spellEnd"/>
      <w:r>
        <w:rPr>
          <w:sz w:val="28"/>
          <w:szCs w:val="28"/>
        </w:rPr>
        <w:t xml:space="preserve"> квартали на града и общината.</w:t>
      </w:r>
    </w:p>
    <w:p w:rsidR="00421482" w:rsidRDefault="004C7D74">
      <w:pPr>
        <w:pStyle w:val="Standard"/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 II</w:t>
      </w:r>
      <w:r>
        <w:rPr>
          <w:sz w:val="28"/>
          <w:szCs w:val="28"/>
        </w:rPr>
        <w:t xml:space="preserve"> Брой регистрирани читалищни членове: 15</w:t>
      </w:r>
      <w:r>
        <w:rPr>
          <w:sz w:val="28"/>
          <w:szCs w:val="28"/>
          <w:lang w:val="en-US"/>
        </w:rPr>
        <w:t>1</w:t>
      </w:r>
    </w:p>
    <w:p w:rsidR="00421482" w:rsidRDefault="004C7D7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21482" w:rsidRDefault="004C7D74">
      <w:pPr>
        <w:pStyle w:val="Standard"/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III.</w:t>
      </w:r>
      <w:r>
        <w:rPr>
          <w:sz w:val="28"/>
          <w:szCs w:val="28"/>
        </w:rPr>
        <w:t xml:space="preserve"> Дейности:</w:t>
      </w:r>
    </w:p>
    <w:p w:rsidR="00421482" w:rsidRDefault="00421482">
      <w:pPr>
        <w:pStyle w:val="Standard"/>
        <w:rPr>
          <w:sz w:val="28"/>
          <w:szCs w:val="28"/>
        </w:rPr>
      </w:pPr>
    </w:p>
    <w:p w:rsidR="00421482" w:rsidRDefault="004C7D74">
      <w:pPr>
        <w:pStyle w:val="Standard"/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А/</w:t>
      </w:r>
      <w:r>
        <w:rPr>
          <w:sz w:val="28"/>
          <w:szCs w:val="28"/>
        </w:rPr>
        <w:t xml:space="preserve">  Библиотечно и информационно обслужване:</w:t>
      </w:r>
    </w:p>
    <w:p w:rsidR="00421482" w:rsidRDefault="004C7D7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Библиотеката на НЧ „Св.Климент Охридски 1969” се явява квартална библиотека в централната част на град Хасково.</w:t>
      </w:r>
    </w:p>
    <w:p w:rsidR="00421482" w:rsidRDefault="004C7D74">
      <w:pPr>
        <w:pStyle w:val="Standard"/>
        <w:numPr>
          <w:ilvl w:val="0"/>
          <w:numId w:val="3"/>
        </w:numPr>
      </w:pPr>
      <w:r>
        <w:rPr>
          <w:sz w:val="28"/>
          <w:szCs w:val="28"/>
        </w:rPr>
        <w:t xml:space="preserve">Библиотечен фонд – </w:t>
      </w:r>
      <w:r>
        <w:rPr>
          <w:rFonts w:ascii="Verdana" w:hAnsi="Verdana" w:cs="Verdana"/>
          <w:sz w:val="22"/>
          <w:szCs w:val="22"/>
        </w:rPr>
        <w:t>6 9</w:t>
      </w:r>
      <w:r>
        <w:rPr>
          <w:rFonts w:ascii="Verdana" w:hAnsi="Verdana" w:cs="Verdana"/>
          <w:sz w:val="22"/>
          <w:szCs w:val="22"/>
          <w:lang w:val="en-US"/>
        </w:rPr>
        <w:t>9</w:t>
      </w:r>
      <w:r>
        <w:rPr>
          <w:rFonts w:ascii="Verdana" w:hAnsi="Verdana" w:cs="Verdana"/>
          <w:sz w:val="22"/>
          <w:szCs w:val="22"/>
        </w:rPr>
        <w:t>3</w:t>
      </w:r>
      <w:r>
        <w:rPr>
          <w:sz w:val="28"/>
          <w:szCs w:val="28"/>
        </w:rPr>
        <w:t xml:space="preserve"> тома;</w:t>
      </w:r>
    </w:p>
    <w:p w:rsidR="00421482" w:rsidRDefault="004C7D7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Набавени библиотечни материали –  1</w:t>
      </w:r>
      <w:r>
        <w:rPr>
          <w:sz w:val="28"/>
          <w:szCs w:val="28"/>
          <w:lang w:val="en-US"/>
        </w:rPr>
        <w:t>95</w:t>
      </w:r>
      <w:r>
        <w:rPr>
          <w:sz w:val="28"/>
          <w:szCs w:val="28"/>
        </w:rPr>
        <w:t xml:space="preserve"> бр. /80 бр.- закупени/</w:t>
      </w:r>
    </w:p>
    <w:p w:rsidR="00421482" w:rsidRDefault="004C7D7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Брой на абонирани периодични издания – </w:t>
      </w:r>
      <w:r>
        <w:rPr>
          <w:sz w:val="28"/>
          <w:szCs w:val="28"/>
          <w:lang w:val="en-US"/>
        </w:rPr>
        <w:t>6</w:t>
      </w:r>
    </w:p>
    <w:p w:rsidR="00421482" w:rsidRDefault="004C7D7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Брой на читателски посещения – </w:t>
      </w:r>
      <w:r>
        <w:rPr>
          <w:sz w:val="28"/>
          <w:szCs w:val="28"/>
          <w:lang w:val="en-US"/>
        </w:rPr>
        <w:t>1955</w:t>
      </w:r>
      <w:r>
        <w:rPr>
          <w:sz w:val="28"/>
          <w:szCs w:val="28"/>
        </w:rPr>
        <w:t>;</w:t>
      </w:r>
    </w:p>
    <w:p w:rsidR="00421482" w:rsidRDefault="004C7D7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Заети книги – </w:t>
      </w:r>
      <w:r>
        <w:rPr>
          <w:sz w:val="28"/>
          <w:szCs w:val="28"/>
          <w:lang w:val="en-US"/>
        </w:rPr>
        <w:t>2990</w:t>
      </w:r>
      <w:r>
        <w:rPr>
          <w:sz w:val="28"/>
          <w:szCs w:val="28"/>
        </w:rPr>
        <w:t xml:space="preserve"> / заемна и детски отдел – </w:t>
      </w:r>
      <w:r>
        <w:rPr>
          <w:sz w:val="28"/>
          <w:szCs w:val="28"/>
          <w:lang w:val="en-US"/>
        </w:rPr>
        <w:t>475</w:t>
      </w:r>
      <w:r>
        <w:rPr>
          <w:sz w:val="28"/>
          <w:szCs w:val="28"/>
        </w:rPr>
        <w:t>395/</w:t>
      </w:r>
    </w:p>
    <w:p w:rsidR="00421482" w:rsidRDefault="004C7D74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 xml:space="preserve">Общо регистрирани читатели – </w:t>
      </w:r>
      <w:r>
        <w:rPr>
          <w:sz w:val="28"/>
          <w:szCs w:val="28"/>
          <w:lang w:val="en-US"/>
        </w:rPr>
        <w:t>85</w:t>
      </w:r>
      <w:r>
        <w:rPr>
          <w:sz w:val="28"/>
          <w:szCs w:val="28"/>
        </w:rPr>
        <w:t>5</w:t>
      </w:r>
    </w:p>
    <w:p w:rsidR="00421482" w:rsidRDefault="004C7D7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Степен на автоматизация – Отлична / </w:t>
      </w:r>
      <w:proofErr w:type="spellStart"/>
      <w:r>
        <w:rPr>
          <w:sz w:val="28"/>
          <w:szCs w:val="28"/>
        </w:rPr>
        <w:t>компютаризирани</w:t>
      </w:r>
      <w:proofErr w:type="spellEnd"/>
      <w:r>
        <w:rPr>
          <w:sz w:val="28"/>
          <w:szCs w:val="28"/>
        </w:rPr>
        <w:t xml:space="preserve"> /</w:t>
      </w:r>
    </w:p>
    <w:p w:rsidR="00421482" w:rsidRDefault="00421482">
      <w:pPr>
        <w:pStyle w:val="Standard"/>
        <w:rPr>
          <w:sz w:val="28"/>
          <w:szCs w:val="28"/>
        </w:rPr>
      </w:pPr>
    </w:p>
    <w:p w:rsidR="00421482" w:rsidRDefault="00421482">
      <w:pPr>
        <w:pStyle w:val="Standard"/>
        <w:rPr>
          <w:sz w:val="28"/>
          <w:szCs w:val="28"/>
        </w:rPr>
      </w:pPr>
    </w:p>
    <w:p w:rsidR="00421482" w:rsidRDefault="00421482">
      <w:pPr>
        <w:pStyle w:val="Standard"/>
        <w:rPr>
          <w:sz w:val="28"/>
          <w:szCs w:val="28"/>
        </w:rPr>
      </w:pPr>
    </w:p>
    <w:p w:rsidR="00421482" w:rsidRDefault="00421482">
      <w:pPr>
        <w:pStyle w:val="Standard"/>
        <w:rPr>
          <w:sz w:val="28"/>
          <w:szCs w:val="28"/>
        </w:rPr>
      </w:pPr>
    </w:p>
    <w:p w:rsidR="00421482" w:rsidRDefault="004C7D74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- 2 -</w:t>
      </w:r>
    </w:p>
    <w:p w:rsidR="00421482" w:rsidRDefault="00421482">
      <w:pPr>
        <w:pStyle w:val="Standard"/>
        <w:rPr>
          <w:sz w:val="28"/>
          <w:szCs w:val="28"/>
        </w:rPr>
      </w:pPr>
    </w:p>
    <w:p w:rsidR="00421482" w:rsidRDefault="004C7D74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421482" w:rsidRDefault="004C7D74">
      <w:pPr>
        <w:pStyle w:val="Standard"/>
      </w:pPr>
      <w:r>
        <w:rPr>
          <w:b/>
          <w:sz w:val="28"/>
          <w:szCs w:val="28"/>
        </w:rPr>
        <w:t xml:space="preserve">           Б/</w:t>
      </w:r>
      <w:r>
        <w:rPr>
          <w:sz w:val="28"/>
          <w:szCs w:val="28"/>
        </w:rPr>
        <w:t xml:space="preserve"> Любителско художествено творчество:</w:t>
      </w:r>
    </w:p>
    <w:p w:rsidR="00421482" w:rsidRDefault="004C7D7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Постоянно действащи колективи /членове/:</w:t>
      </w:r>
    </w:p>
    <w:p w:rsidR="00421482" w:rsidRDefault="004C7D74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Любителска фолклорна формация „7/8 Б” – 60души, р-л Й.Стоянова;</w:t>
      </w:r>
    </w:p>
    <w:p w:rsidR="00421482" w:rsidRDefault="004C7D74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Детска фолклорна формация „Тракийка БГ” – 6 души, р-л Т.</w:t>
      </w:r>
      <w:proofErr w:type="spellStart"/>
      <w:r>
        <w:rPr>
          <w:sz w:val="28"/>
          <w:szCs w:val="28"/>
        </w:rPr>
        <w:t>Кожуехаров</w:t>
      </w:r>
      <w:proofErr w:type="spellEnd"/>
      <w:r>
        <w:rPr>
          <w:sz w:val="28"/>
          <w:szCs w:val="28"/>
        </w:rPr>
        <w:t>;</w:t>
      </w:r>
    </w:p>
    <w:p w:rsidR="00421482" w:rsidRDefault="004C7D74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Школи:</w:t>
      </w:r>
    </w:p>
    <w:p w:rsidR="00421482" w:rsidRDefault="004C7D74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английски език – начинаещи – 25души, </w:t>
      </w:r>
      <w:proofErr w:type="spellStart"/>
      <w:r>
        <w:rPr>
          <w:sz w:val="28"/>
          <w:szCs w:val="28"/>
        </w:rPr>
        <w:t>преп</w:t>
      </w:r>
      <w:proofErr w:type="spellEnd"/>
      <w:r>
        <w:rPr>
          <w:sz w:val="28"/>
          <w:szCs w:val="28"/>
        </w:rPr>
        <w:t xml:space="preserve">. Г. </w:t>
      </w:r>
      <w:proofErr w:type="spellStart"/>
      <w:r>
        <w:rPr>
          <w:sz w:val="28"/>
          <w:szCs w:val="28"/>
        </w:rPr>
        <w:t>Маратилова</w:t>
      </w:r>
      <w:proofErr w:type="spellEnd"/>
      <w:r>
        <w:rPr>
          <w:sz w:val="28"/>
          <w:szCs w:val="28"/>
        </w:rPr>
        <w:t>;</w:t>
      </w:r>
    </w:p>
    <w:p w:rsidR="00421482" w:rsidRDefault="004C7D7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компютърна грамотност – 25души, </w:t>
      </w:r>
      <w:proofErr w:type="spellStart"/>
      <w:r>
        <w:rPr>
          <w:sz w:val="28"/>
          <w:szCs w:val="28"/>
        </w:rPr>
        <w:t>преп</w:t>
      </w:r>
      <w:proofErr w:type="spellEnd"/>
      <w:r>
        <w:rPr>
          <w:sz w:val="28"/>
          <w:szCs w:val="28"/>
        </w:rPr>
        <w:t>. Д.Иванова;</w:t>
      </w:r>
    </w:p>
    <w:p w:rsidR="00421482" w:rsidRDefault="004C7D7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В/ Действащи музейни/</w:t>
      </w:r>
      <w:proofErr w:type="spellStart"/>
      <w:r>
        <w:rPr>
          <w:sz w:val="28"/>
          <w:szCs w:val="28"/>
        </w:rPr>
        <w:t>галерийни</w:t>
      </w:r>
      <w:proofErr w:type="spellEnd"/>
      <w:r>
        <w:rPr>
          <w:sz w:val="28"/>
          <w:szCs w:val="28"/>
        </w:rPr>
        <w:t xml:space="preserve"> сбирки – НЕ;</w:t>
      </w:r>
    </w:p>
    <w:p w:rsidR="00421482" w:rsidRDefault="004C7D7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Г/ Работа по проекти – разработване и кандидатстване пред МК, ЦРЧР и Сдружение с нестопанска цел „Институт за европейски инициативи“;</w:t>
      </w:r>
    </w:p>
    <w:p w:rsidR="00421482" w:rsidRDefault="004C7D74">
      <w:pPr>
        <w:pStyle w:val="Standard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IV.</w:t>
      </w:r>
      <w:r>
        <w:rPr>
          <w:sz w:val="28"/>
          <w:szCs w:val="28"/>
        </w:rPr>
        <w:t>Материална база:</w:t>
      </w:r>
    </w:p>
    <w:p w:rsidR="00421482" w:rsidRDefault="004C7D7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А/ Разгърната площ в кв.м. за читалищна дейност – 141;</w:t>
      </w:r>
    </w:p>
    <w:p w:rsidR="00421482" w:rsidRDefault="004C7D7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Б/ Брой места в салоните:</w:t>
      </w:r>
    </w:p>
    <w:p w:rsidR="00421482" w:rsidRDefault="004C7D7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- зрителна зала – 130 седящи места;</w:t>
      </w:r>
    </w:p>
    <w:p w:rsidR="00421482" w:rsidRDefault="004C7D74">
      <w:pPr>
        <w:pStyle w:val="Standard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- библиотека – 12 седящи места;</w:t>
      </w:r>
    </w:p>
    <w:p w:rsidR="00421482" w:rsidRDefault="004C7D74">
      <w:pPr>
        <w:pStyle w:val="Standard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- кабинет – 1 место</w:t>
      </w:r>
    </w:p>
    <w:p w:rsidR="00421482" w:rsidRDefault="004C7D74">
      <w:pPr>
        <w:pStyle w:val="Standard"/>
        <w:ind w:left="900"/>
        <w:rPr>
          <w:sz w:val="28"/>
          <w:szCs w:val="28"/>
        </w:rPr>
      </w:pPr>
      <w:r>
        <w:rPr>
          <w:sz w:val="28"/>
          <w:szCs w:val="28"/>
        </w:rPr>
        <w:t>В/ Техническа база – Добра</w:t>
      </w:r>
    </w:p>
    <w:p w:rsidR="00421482" w:rsidRDefault="004C7D74">
      <w:pPr>
        <w:pStyle w:val="Standard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Субсидирана численост на персонала – 1 и </w:t>
      </w:r>
      <w:r>
        <w:rPr>
          <w:b/>
          <w:sz w:val="28"/>
          <w:szCs w:val="28"/>
        </w:rPr>
        <w:t>½</w:t>
      </w:r>
      <w:r>
        <w:rPr>
          <w:sz w:val="28"/>
          <w:szCs w:val="28"/>
        </w:rPr>
        <w:t xml:space="preserve"> бройки;</w:t>
      </w:r>
    </w:p>
    <w:p w:rsidR="00421482" w:rsidRDefault="004C7D74">
      <w:pPr>
        <w:pStyle w:val="Standard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VI</w:t>
      </w:r>
      <w:proofErr w:type="gramStart"/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 Общ</w:t>
      </w:r>
      <w:proofErr w:type="gramEnd"/>
      <w:r>
        <w:rPr>
          <w:sz w:val="28"/>
          <w:szCs w:val="28"/>
        </w:rPr>
        <w:t xml:space="preserve"> бюджет за 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г. – 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608</w:t>
      </w:r>
      <w:r>
        <w:rPr>
          <w:sz w:val="28"/>
          <w:szCs w:val="28"/>
        </w:rPr>
        <w:t xml:space="preserve"> лв.  </w:t>
      </w:r>
    </w:p>
    <w:p w:rsidR="00421482" w:rsidRDefault="004C7D74">
      <w:pPr>
        <w:pStyle w:val="Standard"/>
        <w:numPr>
          <w:ilvl w:val="1"/>
          <w:numId w:val="6"/>
        </w:numPr>
      </w:pPr>
      <w:r>
        <w:rPr>
          <w:sz w:val="28"/>
          <w:szCs w:val="28"/>
        </w:rPr>
        <w:t>Общо бюджет за периода: Януари – Декември 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г- - </w:t>
      </w:r>
      <w:r>
        <w:rPr>
          <w:rFonts w:ascii="Verdana" w:hAnsi="Verdana" w:cs="Verdana"/>
          <w:sz w:val="22"/>
          <w:szCs w:val="22"/>
        </w:rPr>
        <w:t>2</w:t>
      </w:r>
      <w:r>
        <w:rPr>
          <w:rFonts w:ascii="Verdana" w:hAnsi="Verdana" w:cs="Verdana"/>
          <w:sz w:val="22"/>
          <w:szCs w:val="22"/>
          <w:lang w:val="en-US"/>
        </w:rPr>
        <w:t>2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  <w:lang w:val="en-US"/>
        </w:rPr>
        <w:t>420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sz w:val="28"/>
          <w:szCs w:val="28"/>
        </w:rPr>
        <w:t>лв. - / приложение 1 /</w:t>
      </w:r>
    </w:p>
    <w:p w:rsidR="00421482" w:rsidRDefault="00421482">
      <w:pPr>
        <w:pStyle w:val="Standard"/>
        <w:tabs>
          <w:tab w:val="left" w:pos="6390"/>
        </w:tabs>
        <w:rPr>
          <w:sz w:val="28"/>
          <w:szCs w:val="28"/>
        </w:rPr>
      </w:pPr>
    </w:p>
    <w:p w:rsidR="00421482" w:rsidRDefault="00421482">
      <w:pPr>
        <w:pStyle w:val="Standard"/>
        <w:tabs>
          <w:tab w:val="left" w:pos="6390"/>
        </w:tabs>
        <w:rPr>
          <w:sz w:val="28"/>
          <w:szCs w:val="28"/>
        </w:rPr>
      </w:pPr>
    </w:p>
    <w:p w:rsidR="00421482" w:rsidRDefault="00421482">
      <w:pPr>
        <w:pStyle w:val="Standard"/>
        <w:tabs>
          <w:tab w:val="left" w:pos="6390"/>
        </w:tabs>
        <w:rPr>
          <w:sz w:val="28"/>
          <w:szCs w:val="28"/>
        </w:rPr>
      </w:pPr>
    </w:p>
    <w:p w:rsidR="00421482" w:rsidRDefault="00421482">
      <w:pPr>
        <w:pStyle w:val="Standard"/>
        <w:tabs>
          <w:tab w:val="left" w:pos="6390"/>
        </w:tabs>
        <w:rPr>
          <w:sz w:val="28"/>
          <w:szCs w:val="28"/>
        </w:rPr>
      </w:pPr>
    </w:p>
    <w:p w:rsidR="00421482" w:rsidRDefault="004C7D74">
      <w:pPr>
        <w:pStyle w:val="Standard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Председател:......................................</w:t>
      </w:r>
    </w:p>
    <w:p w:rsidR="00421482" w:rsidRDefault="004C7D74">
      <w:pPr>
        <w:pStyle w:val="Standard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/ </w:t>
      </w:r>
      <w:proofErr w:type="spellStart"/>
      <w:r>
        <w:rPr>
          <w:sz w:val="28"/>
          <w:szCs w:val="28"/>
        </w:rPr>
        <w:t>Марганита</w:t>
      </w:r>
      <w:proofErr w:type="spellEnd"/>
      <w:r>
        <w:rPr>
          <w:sz w:val="28"/>
          <w:szCs w:val="28"/>
        </w:rPr>
        <w:t xml:space="preserve"> Минчева /</w:t>
      </w:r>
    </w:p>
    <w:p w:rsidR="00421482" w:rsidRDefault="00421482">
      <w:pPr>
        <w:pStyle w:val="Standard"/>
        <w:tabs>
          <w:tab w:val="left" w:pos="6390"/>
        </w:tabs>
        <w:rPr>
          <w:sz w:val="28"/>
          <w:szCs w:val="28"/>
        </w:rPr>
      </w:pPr>
    </w:p>
    <w:p w:rsidR="00421482" w:rsidRDefault="00421482">
      <w:pPr>
        <w:pStyle w:val="Standard"/>
        <w:tabs>
          <w:tab w:val="left" w:pos="6390"/>
        </w:tabs>
        <w:rPr>
          <w:sz w:val="28"/>
          <w:szCs w:val="28"/>
        </w:rPr>
      </w:pPr>
    </w:p>
    <w:p w:rsidR="00421482" w:rsidRDefault="00421482">
      <w:pPr>
        <w:pStyle w:val="Standard"/>
        <w:tabs>
          <w:tab w:val="left" w:pos="6390"/>
        </w:tabs>
        <w:rPr>
          <w:sz w:val="28"/>
          <w:szCs w:val="28"/>
        </w:rPr>
      </w:pPr>
    </w:p>
    <w:p w:rsidR="00421482" w:rsidRDefault="004C7D74">
      <w:pPr>
        <w:pStyle w:val="Standard"/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Секретар:.....................................</w:t>
      </w:r>
    </w:p>
    <w:p w:rsidR="00421482" w:rsidRDefault="004C7D74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/ Сл. Андонов /</w:t>
      </w:r>
    </w:p>
    <w:p w:rsidR="00120031" w:rsidRDefault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Default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Default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Default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Default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Default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Default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Default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Default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Default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Default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Default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  <w:r w:rsidRPr="00120031">
        <w:rPr>
          <w:rFonts w:ascii="Verdana" w:hAnsi="Verdana"/>
        </w:rPr>
        <w:t xml:space="preserve">                                  Настоятелство и Проверителна комисия</w:t>
      </w: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  <w:r w:rsidRPr="00120031">
        <w:rPr>
          <w:rFonts w:ascii="Verdana" w:hAnsi="Verdana"/>
        </w:rPr>
        <w:t xml:space="preserve">                              на НЧ“Св.</w:t>
      </w:r>
      <w:proofErr w:type="spellStart"/>
      <w:r w:rsidRPr="00120031">
        <w:rPr>
          <w:rFonts w:ascii="Verdana" w:hAnsi="Verdana"/>
        </w:rPr>
        <w:t>Кл</w:t>
      </w:r>
      <w:proofErr w:type="spellEnd"/>
      <w:r w:rsidRPr="00120031">
        <w:rPr>
          <w:rFonts w:ascii="Verdana" w:hAnsi="Verdana"/>
        </w:rPr>
        <w:t>.Охридски 1969“ - Хасково,</w:t>
      </w: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  <w:r w:rsidRPr="00120031">
        <w:rPr>
          <w:rFonts w:ascii="Verdana" w:hAnsi="Verdana"/>
        </w:rPr>
        <w:t xml:space="preserve">         избрани на Годишното отчетно събрание, проведено на 22.03.2019 год.</w:t>
      </w: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1.</w:t>
      </w:r>
      <w:r w:rsidRPr="00120031">
        <w:rPr>
          <w:rFonts w:ascii="Verdana" w:hAnsi="Verdana"/>
        </w:rPr>
        <w:t>Маргарита Минчева – Председател;</w:t>
      </w: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2.</w:t>
      </w:r>
      <w:r w:rsidRPr="00120031">
        <w:rPr>
          <w:rFonts w:ascii="Verdana" w:hAnsi="Verdana"/>
        </w:rPr>
        <w:t xml:space="preserve">Росица </w:t>
      </w:r>
      <w:proofErr w:type="spellStart"/>
      <w:r w:rsidRPr="00120031">
        <w:rPr>
          <w:rFonts w:ascii="Verdana" w:hAnsi="Verdana"/>
        </w:rPr>
        <w:t>Анадолиева</w:t>
      </w:r>
      <w:proofErr w:type="spellEnd"/>
      <w:r w:rsidRPr="00120031">
        <w:rPr>
          <w:rFonts w:ascii="Verdana" w:hAnsi="Verdana"/>
        </w:rPr>
        <w:t xml:space="preserve"> – </w:t>
      </w:r>
      <w:proofErr w:type="spellStart"/>
      <w:r w:rsidRPr="00120031">
        <w:rPr>
          <w:rFonts w:ascii="Verdana" w:hAnsi="Verdana"/>
        </w:rPr>
        <w:t>члев</w:t>
      </w:r>
      <w:proofErr w:type="spellEnd"/>
      <w:r w:rsidRPr="00120031">
        <w:rPr>
          <w:rFonts w:ascii="Verdana" w:hAnsi="Verdana"/>
        </w:rPr>
        <w:t>;</w:t>
      </w: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3.</w:t>
      </w:r>
      <w:r w:rsidRPr="00120031">
        <w:rPr>
          <w:rFonts w:ascii="Verdana" w:hAnsi="Verdana"/>
        </w:rPr>
        <w:t>Николай Николов – член;</w:t>
      </w: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4.</w:t>
      </w:r>
      <w:r w:rsidRPr="00120031">
        <w:rPr>
          <w:rFonts w:ascii="Verdana" w:hAnsi="Verdana"/>
        </w:rPr>
        <w:t>Илия Илиев – член;</w:t>
      </w: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5.</w:t>
      </w:r>
      <w:r w:rsidRPr="00120031">
        <w:rPr>
          <w:rFonts w:ascii="Verdana" w:hAnsi="Verdana"/>
        </w:rPr>
        <w:t xml:space="preserve">Славейко Андонов – </w:t>
      </w:r>
      <w:proofErr w:type="spellStart"/>
      <w:r w:rsidRPr="00120031">
        <w:rPr>
          <w:rFonts w:ascii="Verdana" w:hAnsi="Verdana"/>
        </w:rPr>
        <w:t>секлетар</w:t>
      </w:r>
      <w:proofErr w:type="spellEnd"/>
      <w:r w:rsidRPr="00120031">
        <w:rPr>
          <w:rFonts w:ascii="Verdana" w:hAnsi="Verdana"/>
        </w:rPr>
        <w:t>, член</w:t>
      </w: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  <w:r w:rsidRPr="00120031">
        <w:rPr>
          <w:rFonts w:ascii="Verdana" w:hAnsi="Verdana"/>
        </w:rPr>
        <w:t xml:space="preserve">          ПК</w:t>
      </w: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1.</w:t>
      </w:r>
      <w:r w:rsidRPr="00120031">
        <w:rPr>
          <w:rFonts w:ascii="Verdana" w:hAnsi="Verdana"/>
        </w:rPr>
        <w:t>Нина Николова – Председател;</w:t>
      </w: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2.</w:t>
      </w:r>
      <w:r w:rsidRPr="00120031">
        <w:rPr>
          <w:rFonts w:ascii="Verdana" w:hAnsi="Verdana"/>
        </w:rPr>
        <w:t xml:space="preserve">Атанас Петев – </w:t>
      </w:r>
      <w:proofErr w:type="spellStart"/>
      <w:r w:rsidRPr="00120031">
        <w:rPr>
          <w:rFonts w:ascii="Verdana" w:hAnsi="Verdana"/>
        </w:rPr>
        <w:t>члев</w:t>
      </w:r>
      <w:proofErr w:type="spellEnd"/>
      <w:r w:rsidRPr="00120031">
        <w:rPr>
          <w:rFonts w:ascii="Verdana" w:hAnsi="Verdana"/>
        </w:rPr>
        <w:t>;</w:t>
      </w: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>3.</w:t>
      </w:r>
      <w:bookmarkStart w:id="0" w:name="_GoBack"/>
      <w:bookmarkEnd w:id="0"/>
      <w:r w:rsidRPr="00120031">
        <w:rPr>
          <w:rFonts w:ascii="Verdana" w:hAnsi="Verdana"/>
        </w:rPr>
        <w:t>Антон Тодоров – член</w:t>
      </w:r>
    </w:p>
    <w:p w:rsidR="00120031" w:rsidRP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</w:p>
    <w:p w:rsidR="00120031" w:rsidRDefault="00120031" w:rsidP="00120031">
      <w:pPr>
        <w:pStyle w:val="Standard"/>
        <w:tabs>
          <w:tab w:val="left" w:pos="6390"/>
        </w:tabs>
        <w:rPr>
          <w:rFonts w:ascii="Verdana" w:hAnsi="Verdana"/>
        </w:rPr>
      </w:pPr>
      <w:r w:rsidRPr="00120031">
        <w:rPr>
          <w:rFonts w:ascii="Verdana" w:hAnsi="Verdana"/>
        </w:rPr>
        <w:t xml:space="preserve">      Новото ръководство, като ЮЛНЦ е пререгистрирано в Агенцията по вписвания на 23.05.2019 година, посредством Електронен подпис.</w:t>
      </w:r>
    </w:p>
    <w:sectPr w:rsidR="0012003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1D" w:rsidRDefault="0094131D">
      <w:r>
        <w:separator/>
      </w:r>
    </w:p>
  </w:endnote>
  <w:endnote w:type="continuationSeparator" w:id="0">
    <w:p w:rsidR="0094131D" w:rsidRDefault="0094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1D" w:rsidRDefault="0094131D">
      <w:r>
        <w:rPr>
          <w:color w:val="000000"/>
        </w:rPr>
        <w:separator/>
      </w:r>
    </w:p>
  </w:footnote>
  <w:footnote w:type="continuationSeparator" w:id="0">
    <w:p w:rsidR="0094131D" w:rsidRDefault="00941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3403"/>
    <w:multiLevelType w:val="multilevel"/>
    <w:tmpl w:val="4E7EC722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3B991341"/>
    <w:multiLevelType w:val="multilevel"/>
    <w:tmpl w:val="B9BE46C4"/>
    <w:lvl w:ilvl="0">
      <w:start w:val="1"/>
      <w:numFmt w:val="decimal"/>
      <w:lvlText w:val="%1."/>
      <w:lvlJc w:val="left"/>
    </w:lvl>
    <w:lvl w:ilvl="1">
      <w:start w:val="7"/>
      <w:numFmt w:val="upperRoman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11C0E2D"/>
    <w:multiLevelType w:val="multilevel"/>
    <w:tmpl w:val="FA067F22"/>
    <w:styleLink w:val="WW8Num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1482"/>
    <w:rsid w:val="00120031"/>
    <w:rsid w:val="00421482"/>
    <w:rsid w:val="004C7D74"/>
    <w:rsid w:val="0094131D"/>
    <w:rsid w:val="00A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svm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A</dc:creator>
  <cp:lastModifiedBy>User</cp:lastModifiedBy>
  <cp:revision>2</cp:revision>
  <cp:lastPrinted>2019-03-27T16:05:00Z</cp:lastPrinted>
  <dcterms:created xsi:type="dcterms:W3CDTF">2020-04-29T12:37:00Z</dcterms:created>
  <dcterms:modified xsi:type="dcterms:W3CDTF">2020-04-29T12:37:00Z</dcterms:modified>
</cp:coreProperties>
</file>